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framePr w:w="3302" w:h="1381" w:hSpace="187" w:vSpace="187" w:wrap="notBeside" w:vAnchor="page" w:hAnchor="page" w:x="3078" w:y="1237" w:anchorLock="1"/>
        <w:spacing w:after="0" w:line="240" w:lineRule="auto"/>
        <w:ind w:left="142"/>
        <w:rPr>
          <w:rFonts w:ascii="Calibri" w:eastAsia="Times New Roman" w:hAnsi="Calibri" w:cs="Arial"/>
          <w:b/>
          <w:sz w:val="17"/>
          <w:szCs w:val="17"/>
        </w:rPr>
      </w:pPr>
      <w:r>
        <w:rPr>
          <w:rFonts w:ascii="Calibri" w:eastAsia="Times New Roman" w:hAnsi="Calibri" w:cs="Arial"/>
          <w:b/>
          <w:sz w:val="17"/>
          <w:szCs w:val="17"/>
        </w:rPr>
        <w:t>ООО банк «Элита»</w:t>
      </w:r>
    </w:p>
    <w:p>
      <w:pPr>
        <w:framePr w:w="3302" w:h="1381" w:hSpace="187" w:vSpace="187" w:wrap="notBeside" w:vAnchor="page" w:hAnchor="page" w:x="3078" w:y="1237" w:anchorLock="1"/>
        <w:spacing w:after="0" w:line="240" w:lineRule="auto"/>
        <w:ind w:left="142"/>
        <w:rPr>
          <w:rFonts w:ascii="Calibri" w:eastAsia="Times New Roman" w:hAnsi="Calibri" w:cs="Arial"/>
          <w:b/>
          <w:sz w:val="17"/>
          <w:szCs w:val="17"/>
        </w:rPr>
      </w:pPr>
      <w:r>
        <w:rPr>
          <w:rFonts w:ascii="Calibri" w:eastAsia="Times New Roman" w:hAnsi="Calibri" w:cs="Arial"/>
          <w:b/>
          <w:sz w:val="17"/>
          <w:szCs w:val="17"/>
        </w:rPr>
        <w:t xml:space="preserve">Россия, 248000, г. Калуга, </w:t>
      </w:r>
    </w:p>
    <w:p>
      <w:pPr>
        <w:framePr w:w="3302" w:h="1381" w:hSpace="187" w:vSpace="187" w:wrap="notBeside" w:vAnchor="page" w:hAnchor="page" w:x="3078" w:y="1237" w:anchorLock="1"/>
        <w:spacing w:after="0" w:line="240" w:lineRule="auto"/>
        <w:ind w:left="142"/>
        <w:rPr>
          <w:rFonts w:ascii="Calibri" w:eastAsia="Times New Roman" w:hAnsi="Calibri" w:cs="Arial"/>
          <w:b/>
          <w:sz w:val="17"/>
          <w:szCs w:val="17"/>
        </w:rPr>
      </w:pPr>
      <w:r>
        <w:rPr>
          <w:rFonts w:ascii="Calibri" w:eastAsia="Times New Roman" w:hAnsi="Calibri" w:cs="Arial"/>
          <w:b/>
          <w:sz w:val="17"/>
          <w:szCs w:val="17"/>
        </w:rPr>
        <w:t>ул. Московская, 6</w:t>
      </w:r>
    </w:p>
    <w:p>
      <w:pPr>
        <w:framePr w:w="3302" w:h="1381" w:hSpace="187" w:vSpace="187" w:wrap="notBeside" w:vAnchor="page" w:hAnchor="page" w:x="3078" w:y="1237" w:anchorLock="1"/>
        <w:spacing w:after="0" w:line="240" w:lineRule="auto"/>
        <w:ind w:left="142"/>
        <w:rPr>
          <w:rFonts w:ascii="Calibri" w:eastAsia="Times New Roman" w:hAnsi="Calibri" w:cs="Arial"/>
          <w:b/>
          <w:sz w:val="17"/>
          <w:szCs w:val="17"/>
        </w:rPr>
      </w:pPr>
      <w:r>
        <w:rPr>
          <w:rFonts w:ascii="Calibri" w:eastAsia="Times New Roman" w:hAnsi="Calibri" w:cs="Arial"/>
          <w:b/>
          <w:sz w:val="17"/>
          <w:szCs w:val="17"/>
        </w:rPr>
        <w:t>ОГРН 1024000001002</w:t>
      </w:r>
    </w:p>
    <w:p>
      <w:pPr>
        <w:framePr w:w="3302" w:h="1381" w:hSpace="187" w:vSpace="187" w:wrap="notBeside" w:vAnchor="page" w:hAnchor="page" w:x="3078" w:y="1237" w:anchorLock="1"/>
        <w:spacing w:after="0" w:line="240" w:lineRule="auto"/>
        <w:ind w:left="142"/>
        <w:rPr>
          <w:rFonts w:ascii="Calibri" w:eastAsia="Times New Roman" w:hAnsi="Calibri" w:cs="Arial"/>
          <w:b/>
          <w:sz w:val="17"/>
          <w:szCs w:val="17"/>
        </w:rPr>
      </w:pPr>
      <w:r>
        <w:rPr>
          <w:rFonts w:ascii="Calibri" w:eastAsia="Times New Roman" w:hAnsi="Calibri" w:cs="Arial"/>
          <w:b/>
          <w:sz w:val="17"/>
          <w:szCs w:val="17"/>
        </w:rPr>
        <w:t>ИНН 4026005138</w:t>
      </w:r>
    </w:p>
    <w:p>
      <w:pPr>
        <w:framePr w:w="3302" w:h="1381" w:hSpace="187" w:vSpace="187" w:wrap="notBeside" w:vAnchor="page" w:hAnchor="page" w:x="3078" w:y="1237" w:anchorLock="1"/>
        <w:spacing w:after="0" w:line="240" w:lineRule="auto"/>
        <w:ind w:left="142"/>
        <w:rPr>
          <w:rFonts w:ascii="Calibri" w:eastAsia="Times New Roman" w:hAnsi="Calibri" w:cs="Arial"/>
          <w:b/>
          <w:sz w:val="17"/>
          <w:szCs w:val="17"/>
        </w:rPr>
      </w:pPr>
      <w:r>
        <w:rPr>
          <w:rFonts w:ascii="Calibri" w:eastAsia="Times New Roman" w:hAnsi="Calibri" w:cs="Arial"/>
          <w:b/>
          <w:sz w:val="17"/>
          <w:szCs w:val="17"/>
        </w:rPr>
        <w:t>тел./факс (4842) 721-465</w:t>
      </w:r>
    </w:p>
    <w:p>
      <w:pPr>
        <w:framePr w:w="3302" w:h="1381" w:hSpace="187" w:vSpace="187" w:wrap="notBeside" w:vAnchor="page" w:hAnchor="page" w:x="3078" w:y="1237" w:anchorLock="1"/>
        <w:spacing w:after="0" w:line="240" w:lineRule="auto"/>
        <w:ind w:left="142"/>
        <w:rPr>
          <w:rFonts w:ascii="Calibri" w:eastAsia="Times New Roman" w:hAnsi="Calibri"/>
          <w:b/>
          <w:sz w:val="17"/>
          <w:szCs w:val="17"/>
          <w:lang w:val="en-US"/>
        </w:rPr>
      </w:pPr>
      <w:proofErr w:type="gramStart"/>
      <w:r>
        <w:rPr>
          <w:rFonts w:ascii="Calibri" w:eastAsia="Times New Roman" w:hAnsi="Calibri" w:cs="Arial"/>
          <w:b/>
          <w:sz w:val="17"/>
          <w:szCs w:val="17"/>
          <w:lang w:val="en-US"/>
        </w:rPr>
        <w:t>e-mail</w:t>
      </w:r>
      <w:proofErr w:type="gramEnd"/>
      <w:r>
        <w:rPr>
          <w:rFonts w:ascii="Calibri" w:eastAsia="Times New Roman" w:hAnsi="Calibri" w:cs="Arial"/>
          <w:b/>
          <w:sz w:val="17"/>
          <w:szCs w:val="17"/>
          <w:lang w:val="en-US"/>
        </w:rPr>
        <w:t>: info@bankelita.ru</w:t>
      </w:r>
    </w:p>
    <w:p>
      <w:pPr>
        <w:framePr w:w="3302" w:h="1381" w:hSpace="187" w:vSpace="187" w:wrap="notBeside" w:vAnchor="page" w:hAnchor="page" w:x="3078" w:y="1237" w:anchorLock="1"/>
        <w:spacing w:after="0" w:line="240" w:lineRule="auto"/>
        <w:ind w:left="142"/>
        <w:rPr>
          <w:rFonts w:ascii="Calibri" w:eastAsia="Times New Roman" w:hAnsi="Calibri" w:cs="Arial"/>
          <w:b/>
          <w:sz w:val="17"/>
          <w:szCs w:val="17"/>
          <w:lang w:val="en-US"/>
        </w:rPr>
      </w:pPr>
      <w:proofErr w:type="gramStart"/>
      <w:r>
        <w:rPr>
          <w:rFonts w:ascii="Calibri" w:eastAsia="Times New Roman" w:hAnsi="Calibri"/>
          <w:b/>
          <w:sz w:val="17"/>
          <w:szCs w:val="17"/>
          <w:lang w:val="en-US"/>
        </w:rPr>
        <w:t>www</w:t>
      </w:r>
      <w:proofErr w:type="gramEnd"/>
      <w:r>
        <w:rPr>
          <w:rFonts w:ascii="Calibri" w:eastAsia="Times New Roman" w:hAnsi="Calibri"/>
          <w:b/>
          <w:sz w:val="17"/>
          <w:szCs w:val="17"/>
          <w:lang w:val="en-US"/>
        </w:rPr>
        <w:t>. bankelita.ru</w:t>
      </w:r>
    </w:p>
    <w:p>
      <w:pPr>
        <w:tabs>
          <w:tab w:val="left" w:pos="671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43180</wp:posOffset>
            </wp:positionV>
            <wp:extent cx="669925" cy="7385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Табличная форма раскрытия потребителям информации об </w:t>
      </w:r>
      <w:bookmarkStart w:id="0" w:name="_GoBack"/>
      <w:r>
        <w:rPr>
          <w:b/>
        </w:rPr>
        <w:t>условиях обслуживания расчетных (дебетовых) карт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2971"/>
      </w:tblGrid>
      <w:tr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>
            <w:pPr>
              <w:pStyle w:val="ConsPlusNormal"/>
              <w:spacing w:before="120" w:after="120"/>
              <w:jc w:val="center"/>
            </w:pPr>
            <w: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ConsPlusNormal"/>
              <w:spacing w:before="120" w:after="120"/>
              <w:jc w:val="center"/>
            </w:pPr>
            <w:r>
              <w:t>Условие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ConsPlusNormal"/>
              <w:spacing w:before="120" w:after="120"/>
              <w:jc w:val="center"/>
            </w:pPr>
            <w:bookmarkStart w:id="1" w:name="Par48"/>
            <w:bookmarkEnd w:id="1"/>
            <w:r>
              <w:t>Содержание условия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pStyle w:val="ConsPlusNormal"/>
              <w:spacing w:before="120" w:after="120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>
            <w:pPr>
              <w:pStyle w:val="ConsPlusNormal"/>
              <w:spacing w:before="120" w:after="120"/>
            </w:pPr>
            <w:r>
              <w:t>Наименование тарифа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120" w:after="120"/>
              <w:jc w:val="center"/>
              <w:rPr>
                <w:spacing w:val="-6"/>
              </w:rPr>
            </w:pPr>
            <w:r>
              <w:rPr>
                <w:spacing w:val="-6"/>
              </w:rPr>
              <w:t>«Физические лица без зарплатного проекта»</w:t>
            </w:r>
          </w:p>
        </w:tc>
        <w:tc>
          <w:tcPr>
            <w:tcW w:w="2971" w:type="dxa"/>
            <w:vAlign w:val="center"/>
          </w:tcPr>
          <w:p>
            <w:pPr>
              <w:pStyle w:val="ConsPlusNormal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«Зарплатный проект»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pStyle w:val="ConsPlusNormal"/>
              <w:spacing w:before="120" w:after="120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>
            <w:pPr>
              <w:pStyle w:val="ConsPlusNormal"/>
              <w:spacing w:before="120" w:after="120"/>
            </w:pPr>
            <w:r>
              <w:t xml:space="preserve">Условия и стоимость предоставления 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120" w:after="120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Карта </w:t>
            </w:r>
            <w:proofErr w:type="gramStart"/>
            <w:r>
              <w:rPr>
                <w:i/>
                <w:spacing w:val="-6"/>
              </w:rPr>
              <w:t>выпускается  бесплатно</w:t>
            </w:r>
            <w:proofErr w:type="gramEnd"/>
            <w:r>
              <w:rPr>
                <w:i/>
                <w:spacing w:val="-6"/>
              </w:rPr>
              <w:t xml:space="preserve"> после присоединения к договору на обслуживание физического лица.</w:t>
            </w:r>
          </w:p>
          <w:p>
            <w:pPr>
              <w:pStyle w:val="ConsPlusNormal"/>
              <w:rPr>
                <w:spacing w:val="-6"/>
                <w:u w:val="single"/>
              </w:rPr>
            </w:pPr>
            <w:hyperlink r:id="rId9" w:history="1">
              <w:r>
                <w:rPr>
                  <w:rStyle w:val="af2"/>
                  <w:color w:val="auto"/>
                  <w:spacing w:val="-6"/>
                </w:rPr>
                <w:t>http://bankelita.ru/personal</w:t>
              </w:r>
            </w:hyperlink>
          </w:p>
          <w:p>
            <w:pPr>
              <w:pStyle w:val="ConsPlusNormal"/>
              <w:rPr>
                <w:spacing w:val="-6"/>
                <w:u w:val="single"/>
              </w:rPr>
            </w:pPr>
            <w:r>
              <w:rPr>
                <w:spacing w:val="-6"/>
                <w:u w:val="single"/>
              </w:rPr>
              <w:t>/</w:t>
            </w:r>
            <w:proofErr w:type="spellStart"/>
            <w:r>
              <w:rPr>
                <w:spacing w:val="-6"/>
                <w:u w:val="single"/>
              </w:rPr>
              <w:t>cards</w:t>
            </w:r>
            <w:proofErr w:type="spellEnd"/>
            <w:r>
              <w:rPr>
                <w:spacing w:val="-6"/>
                <w:u w:val="single"/>
              </w:rPr>
              <w:t>/</w:t>
            </w:r>
            <w:proofErr w:type="spellStart"/>
            <w:r>
              <w:rPr>
                <w:spacing w:val="-6"/>
                <w:u w:val="single"/>
              </w:rPr>
              <w:t>dokumenty</w:t>
            </w:r>
            <w:proofErr w:type="spellEnd"/>
            <w:r>
              <w:rPr>
                <w:spacing w:val="-6"/>
                <w:u w:val="single"/>
              </w:rPr>
              <w:t>/</w:t>
            </w:r>
          </w:p>
          <w:p>
            <w:pPr>
              <w:pStyle w:val="ConsPlusNormal"/>
              <w:spacing w:before="120" w:after="120"/>
              <w:rPr>
                <w:i/>
              </w:rPr>
            </w:pPr>
          </w:p>
        </w:tc>
        <w:tc>
          <w:tcPr>
            <w:tcW w:w="2971" w:type="dxa"/>
          </w:tcPr>
          <w:p>
            <w:pPr>
              <w:pStyle w:val="ConsPlusNormal"/>
              <w:spacing w:before="120" w:after="120"/>
              <w:rPr>
                <w:i/>
                <w:spacing w:val="-6"/>
              </w:rPr>
            </w:pPr>
            <w:r>
              <w:rPr>
                <w:i/>
                <w:spacing w:val="-6"/>
              </w:rPr>
              <w:t>Карта выпускается бесплатно после заключения договора на обслуживание с работодателем.</w:t>
            </w:r>
          </w:p>
          <w:p>
            <w:pPr>
              <w:pStyle w:val="ConsPlusNormal"/>
              <w:rPr>
                <w:spacing w:val="-6"/>
                <w:u w:val="single"/>
              </w:rPr>
            </w:pPr>
            <w:hyperlink r:id="rId10" w:history="1">
              <w:r>
                <w:rPr>
                  <w:rStyle w:val="af2"/>
                  <w:color w:val="auto"/>
                  <w:spacing w:val="-6"/>
                </w:rPr>
                <w:t>http://bankelita.ru/personal</w:t>
              </w:r>
            </w:hyperlink>
          </w:p>
          <w:p>
            <w:pPr>
              <w:pStyle w:val="ConsPlusNormal"/>
              <w:rPr>
                <w:spacing w:val="-6"/>
                <w:u w:val="single"/>
              </w:rPr>
            </w:pPr>
            <w:r>
              <w:rPr>
                <w:spacing w:val="-6"/>
                <w:u w:val="single"/>
              </w:rPr>
              <w:t>/</w:t>
            </w:r>
            <w:proofErr w:type="spellStart"/>
            <w:r>
              <w:rPr>
                <w:spacing w:val="-6"/>
                <w:u w:val="single"/>
              </w:rPr>
              <w:t>cards</w:t>
            </w:r>
            <w:proofErr w:type="spellEnd"/>
            <w:r>
              <w:rPr>
                <w:spacing w:val="-6"/>
                <w:u w:val="single"/>
              </w:rPr>
              <w:t>/</w:t>
            </w:r>
            <w:proofErr w:type="spellStart"/>
            <w:r>
              <w:rPr>
                <w:spacing w:val="-6"/>
                <w:u w:val="single"/>
              </w:rPr>
              <w:t>dokumenty</w:t>
            </w:r>
            <w:proofErr w:type="spellEnd"/>
            <w:r>
              <w:rPr>
                <w:spacing w:val="-6"/>
                <w:u w:val="single"/>
              </w:rPr>
              <w:t>/</w:t>
            </w:r>
          </w:p>
          <w:p>
            <w:pPr>
              <w:pStyle w:val="ConsPlusNormal"/>
              <w:spacing w:before="120" w:after="120"/>
              <w:rPr>
                <w:i/>
                <w:spacing w:val="-6"/>
              </w:rPr>
            </w:pP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pStyle w:val="ConsPlusNormal"/>
              <w:spacing w:before="120" w:after="120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>
            <w:pPr>
              <w:pStyle w:val="ConsPlusNormal"/>
              <w:spacing w:before="120" w:after="120"/>
            </w:pPr>
            <w:r>
              <w:t>Тип карты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МИР классическая</w:t>
            </w:r>
          </w:p>
        </w:tc>
        <w:tc>
          <w:tcPr>
            <w:tcW w:w="2971" w:type="dxa"/>
          </w:tcPr>
          <w:p>
            <w:pPr>
              <w:pStyle w:val="ConsPlusNormal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МИР классическая</w:t>
            </w:r>
          </w:p>
        </w:tc>
      </w:tr>
      <w:tr>
        <w:trPr>
          <w:trHeight w:val="491"/>
          <w:jc w:val="center"/>
        </w:trPr>
        <w:tc>
          <w:tcPr>
            <w:tcW w:w="562" w:type="dxa"/>
            <w:vAlign w:val="center"/>
          </w:tcPr>
          <w:p>
            <w:pPr>
              <w:pStyle w:val="ConsPlusNormal"/>
              <w:spacing w:before="120" w:after="120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>
            <w:pPr>
              <w:pStyle w:val="ConsPlusNormal"/>
              <w:spacing w:before="120" w:after="120"/>
              <w:rPr>
                <w:lang w:val="en-US"/>
              </w:rPr>
            </w:pPr>
            <w:r>
              <w:t>Валюта счета карты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RUR</w:t>
            </w:r>
          </w:p>
        </w:tc>
        <w:tc>
          <w:tcPr>
            <w:tcW w:w="2971" w:type="dxa"/>
            <w:vAlign w:val="center"/>
          </w:tcPr>
          <w:p>
            <w:pPr>
              <w:pStyle w:val="ConsPlusNormal"/>
              <w:spacing w:before="120" w:after="12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RUR</w:t>
            </w:r>
          </w:p>
        </w:tc>
      </w:tr>
      <w:tr>
        <w:trPr>
          <w:jc w:val="center"/>
        </w:trPr>
        <w:tc>
          <w:tcPr>
            <w:tcW w:w="562" w:type="dxa"/>
            <w:vAlign w:val="center"/>
          </w:tcPr>
          <w:p>
            <w:pPr>
              <w:pStyle w:val="ConsPlusNormal"/>
              <w:spacing w:before="120" w:after="120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>
            <w:pPr>
              <w:pStyle w:val="ConsPlusNormal"/>
              <w:spacing w:before="120" w:after="120"/>
              <w:rPr>
                <w:spacing w:val="-4"/>
              </w:rPr>
            </w:pPr>
            <w:r>
              <w:rPr>
                <w:spacing w:val="-4"/>
              </w:rPr>
              <w:t xml:space="preserve">Направление уведомлений потребителю об операциях с использованием карты </w:t>
            </w:r>
          </w:p>
          <w:p>
            <w:pPr>
              <w:pStyle w:val="ConsPlusNormal"/>
              <w:spacing w:before="120" w:after="120"/>
              <w:rPr>
                <w:spacing w:val="-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120" w:after="120"/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>Мобильный-</w:t>
            </w:r>
            <w:proofErr w:type="gramStart"/>
            <w:r>
              <w:rPr>
                <w:i/>
                <w:spacing w:val="-4"/>
              </w:rPr>
              <w:t>банк  Интернет</w:t>
            </w:r>
            <w:proofErr w:type="gramEnd"/>
            <w:r>
              <w:rPr>
                <w:i/>
                <w:spacing w:val="-4"/>
              </w:rPr>
              <w:t>-Банк– бесплатно</w:t>
            </w:r>
          </w:p>
          <w:p>
            <w:pPr>
              <w:pStyle w:val="ConsPlusNormal"/>
              <w:spacing w:before="120" w:after="120"/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 xml:space="preserve">SMS информирование –  </w:t>
            </w:r>
          </w:p>
          <w:p>
            <w:pPr>
              <w:pStyle w:val="ConsPlusNormal"/>
              <w:spacing w:before="120" w:after="120"/>
              <w:jc w:val="both"/>
              <w:rPr>
                <w:spacing w:val="-4"/>
              </w:rPr>
            </w:pPr>
            <w:r>
              <w:rPr>
                <w:i/>
                <w:spacing w:val="-4"/>
              </w:rPr>
              <w:t>45 руб. в месяц</w:t>
            </w:r>
          </w:p>
        </w:tc>
        <w:tc>
          <w:tcPr>
            <w:tcW w:w="2971" w:type="dxa"/>
          </w:tcPr>
          <w:p>
            <w:pPr>
              <w:pStyle w:val="ConsPlusNormal"/>
              <w:spacing w:before="120" w:after="120"/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>Мобильный-</w:t>
            </w:r>
            <w:proofErr w:type="gramStart"/>
            <w:r>
              <w:rPr>
                <w:i/>
                <w:spacing w:val="-4"/>
              </w:rPr>
              <w:t>банк  Интернет</w:t>
            </w:r>
            <w:proofErr w:type="gramEnd"/>
            <w:r>
              <w:rPr>
                <w:i/>
                <w:spacing w:val="-4"/>
              </w:rPr>
              <w:t>-Банк– бесплатно</w:t>
            </w:r>
          </w:p>
          <w:p>
            <w:pPr>
              <w:pStyle w:val="ConsPlusNormal"/>
              <w:spacing w:before="120" w:after="120"/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  <w:lang w:val="en-US"/>
              </w:rPr>
              <w:t>SMS</w:t>
            </w:r>
            <w:r>
              <w:rPr>
                <w:i/>
                <w:spacing w:val="-4"/>
              </w:rPr>
              <w:t xml:space="preserve"> информирование –  </w:t>
            </w:r>
          </w:p>
          <w:p>
            <w:pPr>
              <w:pStyle w:val="ConsPlusNormal"/>
              <w:spacing w:before="120" w:after="120"/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>45 руб. в месяц</w:t>
            </w:r>
          </w:p>
        </w:tc>
      </w:tr>
    </w:tbl>
    <w:p>
      <w:pPr>
        <w:spacing w:after="0"/>
        <w:ind w:left="7791" w:firstLine="437"/>
        <w:rPr>
          <w:rFonts w:ascii="Times New Roman" w:hAnsi="Times New Roman"/>
          <w:i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2551"/>
        <w:gridCol w:w="2977"/>
        <w:gridCol w:w="2976"/>
      </w:tblGrid>
      <w:tr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spacing w:before="120" w:after="120"/>
              <w:jc w:val="center"/>
            </w:pPr>
            <w:r>
              <w:t>Комиссии и иные платежи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spacing w:before="120" w:after="120"/>
              <w:jc w:val="center"/>
            </w:pPr>
          </w:p>
        </w:tc>
      </w:tr>
      <w:t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before="60" w:after="60"/>
              <w:jc w:val="center"/>
            </w:pPr>
            <w: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spacing w:before="60" w:after="60"/>
              <w:jc w:val="center"/>
            </w:pPr>
            <w:r>
              <w:t>Наименование услуги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spacing w:before="60" w:after="60"/>
              <w:jc w:val="center"/>
              <w:rPr>
                <w:spacing w:val="-8"/>
              </w:rPr>
            </w:pPr>
          </w:p>
          <w:p>
            <w:pPr>
              <w:pStyle w:val="ConsPlusNormal"/>
              <w:spacing w:before="60" w:after="60"/>
              <w:jc w:val="center"/>
              <w:rPr>
                <w:spacing w:val="-8"/>
              </w:rPr>
            </w:pPr>
            <w:r>
              <w:rPr>
                <w:spacing w:val="-8"/>
              </w:rPr>
              <w:t>Тарификация и условия предоставления услуги</w:t>
            </w:r>
          </w:p>
          <w:p>
            <w:pPr>
              <w:pStyle w:val="ConsPlusNormal"/>
              <w:spacing w:before="60" w:after="60"/>
              <w:jc w:val="center"/>
              <w:rPr>
                <w:spacing w:val="-8"/>
              </w:rPr>
            </w:pPr>
          </w:p>
        </w:tc>
      </w:tr>
      <w:tr>
        <w:tc>
          <w:tcPr>
            <w:tcW w:w="9355" w:type="dxa"/>
            <w:gridSpan w:val="4"/>
            <w:tcBorders>
              <w:top w:val="single" w:sz="4" w:space="0" w:color="auto"/>
            </w:tcBorders>
            <w:vAlign w:val="center"/>
          </w:tcPr>
          <w:p>
            <w:pPr>
              <w:pStyle w:val="ConsPlusNormal"/>
              <w:spacing w:before="60" w:after="60"/>
              <w:ind w:left="720"/>
              <w:jc w:val="center"/>
            </w:pPr>
            <w:r>
              <w:t>1. Выпуск (эмиссия) и обслуживание карты</w:t>
            </w:r>
          </w:p>
        </w:tc>
      </w:tr>
      <w:tr>
        <w:tc>
          <w:tcPr>
            <w:tcW w:w="851" w:type="dxa"/>
            <w:vAlign w:val="center"/>
          </w:tcPr>
          <w:p>
            <w:pPr>
              <w:pStyle w:val="ConsPlusNormal"/>
              <w:spacing w:before="80" w:after="80"/>
              <w:jc w:val="center"/>
            </w:pPr>
            <w:r>
              <w:t>1.1</w:t>
            </w:r>
          </w:p>
        </w:tc>
        <w:tc>
          <w:tcPr>
            <w:tcW w:w="2551" w:type="dxa"/>
            <w:vAlign w:val="center"/>
          </w:tcPr>
          <w:p>
            <w:pPr>
              <w:pStyle w:val="ConsPlusNormal"/>
              <w:spacing w:before="80" w:after="80"/>
              <w:rPr>
                <w:i/>
              </w:rPr>
            </w:pPr>
            <w:r>
              <w:t xml:space="preserve">Выпуск (эмиссия) основной карты 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/>
              <w:jc w:val="center"/>
              <w:rPr>
                <w:highlight w:val="yellow"/>
              </w:rPr>
            </w:pPr>
            <w:r>
              <w:t>Бесплатно</w:t>
            </w:r>
          </w:p>
        </w:tc>
        <w:tc>
          <w:tcPr>
            <w:tcW w:w="2976" w:type="dxa"/>
            <w:vAlign w:val="center"/>
          </w:tcPr>
          <w:p>
            <w:pPr>
              <w:pStyle w:val="ConsPlusNormal"/>
              <w:spacing w:before="80" w:after="80"/>
              <w:jc w:val="center"/>
              <w:rPr>
                <w:highlight w:val="yellow"/>
              </w:rPr>
            </w:pPr>
            <w:r>
              <w:t>Бесплатно</w:t>
            </w:r>
          </w:p>
        </w:tc>
      </w:tr>
      <w:tr>
        <w:tc>
          <w:tcPr>
            <w:tcW w:w="851" w:type="dxa"/>
            <w:vAlign w:val="center"/>
          </w:tcPr>
          <w:p>
            <w:pPr>
              <w:pStyle w:val="ConsPlusNormal"/>
              <w:spacing w:before="80" w:after="80"/>
              <w:jc w:val="center"/>
            </w:pPr>
            <w:r>
              <w:t>1.2</w:t>
            </w:r>
          </w:p>
        </w:tc>
        <w:tc>
          <w:tcPr>
            <w:tcW w:w="2551" w:type="dxa"/>
            <w:vAlign w:val="center"/>
          </w:tcPr>
          <w:p>
            <w:pPr>
              <w:pStyle w:val="ConsPlusNormal"/>
              <w:spacing w:before="80" w:after="80"/>
              <w:jc w:val="both"/>
            </w:pPr>
            <w:r>
              <w:t xml:space="preserve">Выпуск (эмиссия) дополнительной карты (в случае наличия возможности ее выпуска на имя держателя основной карты </w:t>
            </w:r>
            <w:r>
              <w:br/>
            </w:r>
            <w:r>
              <w:lastRenderedPageBreak/>
              <w:t xml:space="preserve">и (или) на третье лицо) 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 w:line="228" w:lineRule="auto"/>
              <w:jc w:val="center"/>
              <w:rPr>
                <w:i/>
                <w:highlight w:val="yellow"/>
              </w:rPr>
            </w:pPr>
            <w:r>
              <w:rPr>
                <w:i/>
              </w:rPr>
              <w:lastRenderedPageBreak/>
              <w:t>300 руб.</w:t>
            </w:r>
          </w:p>
        </w:tc>
        <w:tc>
          <w:tcPr>
            <w:tcW w:w="2976" w:type="dxa"/>
            <w:vAlign w:val="center"/>
          </w:tcPr>
          <w:p>
            <w:pPr>
              <w:pStyle w:val="ConsPlusNormal"/>
              <w:spacing w:before="80" w:after="80" w:line="228" w:lineRule="auto"/>
              <w:jc w:val="both"/>
              <w:rPr>
                <w:i/>
                <w:highlight w:val="yellow"/>
              </w:rPr>
            </w:pPr>
            <w:r>
              <w:rPr>
                <w:i/>
              </w:rPr>
              <w:t xml:space="preserve">            300 руб.</w:t>
            </w:r>
          </w:p>
        </w:tc>
      </w:tr>
      <w:tr>
        <w:tc>
          <w:tcPr>
            <w:tcW w:w="851" w:type="dxa"/>
            <w:vAlign w:val="center"/>
          </w:tcPr>
          <w:p>
            <w:pPr>
              <w:pStyle w:val="ConsPlusNormal"/>
              <w:spacing w:before="80" w:after="80"/>
              <w:jc w:val="center"/>
            </w:pPr>
            <w:r>
              <w:t>1.3</w:t>
            </w:r>
          </w:p>
        </w:tc>
        <w:tc>
          <w:tcPr>
            <w:tcW w:w="2551" w:type="dxa"/>
            <w:vAlign w:val="center"/>
          </w:tcPr>
          <w:p>
            <w:pPr>
              <w:pStyle w:val="ConsPlusNormal"/>
              <w:spacing w:before="80" w:after="80"/>
            </w:pPr>
            <w:r>
              <w:t>Оформление новой карты взамен выпущенной ранее (</w:t>
            </w:r>
            <w:proofErr w:type="spellStart"/>
            <w:r>
              <w:t>перевыпуск</w:t>
            </w:r>
            <w:proofErr w:type="spellEnd"/>
            <w:r>
              <w:t>)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>По сроку действия – бесплатно</w:t>
            </w:r>
          </w:p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>Утрата карты по вине держателя – 300 руб.</w:t>
            </w:r>
          </w:p>
        </w:tc>
        <w:tc>
          <w:tcPr>
            <w:tcW w:w="2976" w:type="dxa"/>
          </w:tcPr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>По сроку действия – бесплатно</w:t>
            </w:r>
          </w:p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>Утрата карты по вине держателя – 300 руб.</w:t>
            </w:r>
          </w:p>
        </w:tc>
      </w:tr>
      <w:tr>
        <w:tc>
          <w:tcPr>
            <w:tcW w:w="851" w:type="dxa"/>
            <w:vAlign w:val="center"/>
          </w:tcPr>
          <w:p>
            <w:pPr>
              <w:pStyle w:val="ConsPlusNormal"/>
              <w:spacing w:before="80" w:after="80"/>
              <w:jc w:val="center"/>
            </w:pPr>
            <w:r>
              <w:t>1.4</w:t>
            </w:r>
          </w:p>
        </w:tc>
        <w:tc>
          <w:tcPr>
            <w:tcW w:w="2551" w:type="dxa"/>
            <w:vAlign w:val="center"/>
          </w:tcPr>
          <w:p>
            <w:pPr>
              <w:pStyle w:val="ConsPlusNormal"/>
              <w:spacing w:before="80" w:after="80"/>
              <w:jc w:val="both"/>
              <w:rPr>
                <w:spacing w:val="-6"/>
              </w:rPr>
            </w:pPr>
            <w:r>
              <w:rPr>
                <w:spacing w:val="-6"/>
              </w:rPr>
              <w:t>Обслуживание карты (открытие и обслуживание счета)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/>
              <w:rPr>
                <w:i/>
              </w:rPr>
            </w:pPr>
            <w:r>
              <w:rPr>
                <w:i/>
              </w:rPr>
              <w:t>300 руб. за один год действия карты</w:t>
            </w:r>
          </w:p>
        </w:tc>
        <w:tc>
          <w:tcPr>
            <w:tcW w:w="2976" w:type="dxa"/>
            <w:vAlign w:val="center"/>
          </w:tcPr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 xml:space="preserve">        Бесплатно</w:t>
            </w:r>
          </w:p>
        </w:tc>
      </w:tr>
      <w:tr>
        <w:trPr>
          <w:trHeight w:val="454"/>
        </w:trPr>
        <w:tc>
          <w:tcPr>
            <w:tcW w:w="9355" w:type="dxa"/>
            <w:gridSpan w:val="4"/>
            <w:vAlign w:val="center"/>
          </w:tcPr>
          <w:p>
            <w:pPr>
              <w:pStyle w:val="ConsPlusNormal"/>
              <w:spacing w:before="60" w:after="60"/>
              <w:ind w:left="2160"/>
            </w:pPr>
            <w:r>
              <w:t>2. Снятие наличных денежных средств</w:t>
            </w:r>
          </w:p>
        </w:tc>
      </w:tr>
      <w:tr>
        <w:trPr>
          <w:trHeight w:val="397"/>
        </w:trPr>
        <w:tc>
          <w:tcPr>
            <w:tcW w:w="851" w:type="dxa"/>
            <w:vAlign w:val="center"/>
          </w:tcPr>
          <w:p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504" w:type="dxa"/>
            <w:gridSpan w:val="3"/>
            <w:vAlign w:val="center"/>
          </w:tcPr>
          <w:p>
            <w:pPr>
              <w:pStyle w:val="ConsPlusNormal"/>
              <w:spacing w:before="60" w:after="60"/>
              <w:jc w:val="center"/>
            </w:pPr>
            <w:r>
              <w:t>В инфраструктуре Банка</w:t>
            </w:r>
          </w:p>
        </w:tc>
      </w:tr>
      <w:tr>
        <w:tc>
          <w:tcPr>
            <w:tcW w:w="851" w:type="dxa"/>
            <w:vAlign w:val="center"/>
          </w:tcPr>
          <w:p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551" w:type="dxa"/>
            <w:vAlign w:val="center"/>
          </w:tcPr>
          <w:p>
            <w:pPr>
              <w:pStyle w:val="ConsPlusNormal"/>
              <w:jc w:val="both"/>
            </w:pPr>
            <w:r>
              <w:t xml:space="preserve">   в банкоматах банка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/>
              <w:jc w:val="center"/>
              <w:rPr>
                <w:i/>
                <w:spacing w:val="-6"/>
              </w:rPr>
            </w:pPr>
            <w:r>
              <w:rPr>
                <w:i/>
                <w:spacing w:val="-6"/>
              </w:rPr>
              <w:t>Без комиссии</w:t>
            </w:r>
          </w:p>
        </w:tc>
        <w:tc>
          <w:tcPr>
            <w:tcW w:w="2976" w:type="dxa"/>
            <w:vAlign w:val="center"/>
          </w:tcPr>
          <w:p>
            <w:pPr>
              <w:pStyle w:val="ConsPlusNormal"/>
              <w:spacing w:before="80" w:after="80"/>
              <w:jc w:val="center"/>
              <w:rPr>
                <w:i/>
              </w:rPr>
            </w:pPr>
            <w:r>
              <w:rPr>
                <w:i/>
              </w:rPr>
              <w:t>Без комиссии</w:t>
            </w:r>
          </w:p>
        </w:tc>
      </w:tr>
      <w:tr>
        <w:tc>
          <w:tcPr>
            <w:tcW w:w="851" w:type="dxa"/>
            <w:vAlign w:val="center"/>
          </w:tcPr>
          <w:p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551" w:type="dxa"/>
            <w:vAlign w:val="center"/>
          </w:tcPr>
          <w:p>
            <w:pPr>
              <w:pStyle w:val="ConsPlusNormal"/>
              <w:jc w:val="both"/>
              <w:rPr>
                <w:spacing w:val="-8"/>
              </w:rPr>
            </w:pPr>
            <w:r>
              <w:t xml:space="preserve">   </w:t>
            </w:r>
            <w:r>
              <w:rPr>
                <w:spacing w:val="-8"/>
              </w:rPr>
              <w:t>в пункте выдачи наличных (далее </w:t>
            </w:r>
            <w:r>
              <w:t>–</w:t>
            </w:r>
            <w:r>
              <w:rPr>
                <w:spacing w:val="-8"/>
              </w:rPr>
              <w:t xml:space="preserve"> ПВН) банка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/>
              <w:jc w:val="center"/>
              <w:rPr>
                <w:i/>
                <w:spacing w:val="-6"/>
              </w:rPr>
            </w:pPr>
            <w:r>
              <w:rPr>
                <w:i/>
                <w:spacing w:val="-6"/>
              </w:rPr>
              <w:t>Без комиссии</w:t>
            </w:r>
          </w:p>
        </w:tc>
        <w:tc>
          <w:tcPr>
            <w:tcW w:w="2976" w:type="dxa"/>
            <w:vAlign w:val="center"/>
          </w:tcPr>
          <w:p>
            <w:pPr>
              <w:pStyle w:val="ConsPlusNormal"/>
              <w:spacing w:before="80" w:after="80"/>
              <w:jc w:val="center"/>
              <w:rPr>
                <w:i/>
              </w:rPr>
            </w:pPr>
            <w:r>
              <w:rPr>
                <w:i/>
                <w:spacing w:val="-6"/>
              </w:rPr>
              <w:t>Без комиссии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6"/>
        <w:gridCol w:w="2561"/>
        <w:gridCol w:w="2977"/>
        <w:gridCol w:w="2971"/>
      </w:tblGrid>
      <w:tr>
        <w:tc>
          <w:tcPr>
            <w:tcW w:w="836" w:type="dxa"/>
            <w:vAlign w:val="center"/>
          </w:tcPr>
          <w:p>
            <w:pPr>
              <w:pStyle w:val="ConsPlusNormal"/>
              <w:spacing w:before="120" w:after="120"/>
              <w:jc w:val="center"/>
            </w:pPr>
            <w:r>
              <w:br w:type="textWrapping" w:clear="all"/>
            </w:r>
            <w:r>
              <w:br w:type="page"/>
              <w:t>2.2</w:t>
            </w:r>
          </w:p>
        </w:tc>
        <w:tc>
          <w:tcPr>
            <w:tcW w:w="8509" w:type="dxa"/>
            <w:gridSpan w:val="3"/>
            <w:vAlign w:val="center"/>
          </w:tcPr>
          <w:p>
            <w:pPr>
              <w:pStyle w:val="ConsPlusNormal"/>
              <w:spacing w:before="100" w:after="100"/>
              <w:jc w:val="center"/>
              <w:rPr>
                <w:spacing w:val="-2"/>
              </w:rPr>
            </w:pPr>
            <w:r>
              <w:rPr>
                <w:spacing w:val="-2"/>
              </w:rPr>
              <w:t>В инфраструктуре других КО</w:t>
            </w:r>
          </w:p>
        </w:tc>
      </w:tr>
      <w:tr>
        <w:tc>
          <w:tcPr>
            <w:tcW w:w="836" w:type="dxa"/>
            <w:vAlign w:val="center"/>
          </w:tcPr>
          <w:p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561" w:type="dxa"/>
            <w:vAlign w:val="center"/>
          </w:tcPr>
          <w:p>
            <w:pPr>
              <w:pStyle w:val="ConsPlusNormal"/>
              <w:jc w:val="both"/>
              <w:rPr>
                <w:spacing w:val="-2"/>
              </w:rPr>
            </w:pPr>
            <w:r>
              <w:t xml:space="preserve">   </w:t>
            </w:r>
            <w:r>
              <w:rPr>
                <w:spacing w:val="-2"/>
              </w:rPr>
              <w:t>в банкоматах других банков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 xml:space="preserve">сумма операции до 3 000 </w:t>
            </w:r>
            <w:proofErr w:type="gramStart"/>
            <w:r>
              <w:rPr>
                <w:i/>
              </w:rPr>
              <w:t>рублей  -</w:t>
            </w:r>
            <w:proofErr w:type="gramEnd"/>
            <w:r>
              <w:rPr>
                <w:i/>
              </w:rPr>
              <w:t xml:space="preserve"> 0,7 % но не менее 20 рублей</w:t>
            </w:r>
          </w:p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 xml:space="preserve">сумма операции от 3 000 рублей (включительно) - </w:t>
            </w:r>
            <w:r>
              <w:rPr>
                <w:b/>
                <w:i/>
              </w:rPr>
              <w:t>бесплатно</w:t>
            </w:r>
          </w:p>
        </w:tc>
        <w:tc>
          <w:tcPr>
            <w:tcW w:w="2971" w:type="dxa"/>
          </w:tcPr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 xml:space="preserve">сумма операции до 3 000 </w:t>
            </w:r>
            <w:proofErr w:type="gramStart"/>
            <w:r>
              <w:rPr>
                <w:i/>
              </w:rPr>
              <w:t>рублей  -</w:t>
            </w:r>
            <w:proofErr w:type="gramEnd"/>
            <w:r>
              <w:rPr>
                <w:i/>
              </w:rPr>
              <w:t xml:space="preserve"> 0,7 % но не менее 20 рублей</w:t>
            </w:r>
          </w:p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 xml:space="preserve">сумма операции от 3 000 рублей (включительно) - </w:t>
            </w:r>
            <w:r>
              <w:rPr>
                <w:b/>
                <w:i/>
              </w:rPr>
              <w:t>бесплатно</w:t>
            </w:r>
          </w:p>
        </w:tc>
      </w:tr>
      <w:tr>
        <w:tc>
          <w:tcPr>
            <w:tcW w:w="836" w:type="dxa"/>
            <w:vAlign w:val="center"/>
          </w:tcPr>
          <w:p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561" w:type="dxa"/>
            <w:vAlign w:val="center"/>
          </w:tcPr>
          <w:p>
            <w:pPr>
              <w:pStyle w:val="ConsPlusNormal"/>
              <w:jc w:val="both"/>
            </w:pPr>
            <w:r>
              <w:t xml:space="preserve">   в ПВН других банков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/>
              <w:jc w:val="both"/>
              <w:rPr>
                <w:i/>
                <w:spacing w:val="-6"/>
              </w:rPr>
            </w:pPr>
            <w:r>
              <w:rPr>
                <w:i/>
              </w:rPr>
              <w:t>- 0,7 % но не менее 20 руб.</w:t>
            </w:r>
          </w:p>
        </w:tc>
        <w:tc>
          <w:tcPr>
            <w:tcW w:w="2971" w:type="dxa"/>
          </w:tcPr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>- 0,7 % но не менее 20 руб.</w:t>
            </w:r>
          </w:p>
        </w:tc>
      </w:tr>
      <w:tr>
        <w:tc>
          <w:tcPr>
            <w:tcW w:w="9345" w:type="dxa"/>
            <w:gridSpan w:val="4"/>
          </w:tcPr>
          <w:p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Внесение наличных денежных средств</w:t>
            </w:r>
          </w:p>
        </w:tc>
      </w:tr>
      <w:tr>
        <w:tc>
          <w:tcPr>
            <w:tcW w:w="836" w:type="dxa"/>
            <w:vAlign w:val="center"/>
          </w:tcPr>
          <w:p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61" w:type="dxa"/>
            <w:vAlign w:val="center"/>
          </w:tcPr>
          <w:p>
            <w:pPr>
              <w:pStyle w:val="ConsPlusNormal"/>
              <w:jc w:val="both"/>
              <w:rPr>
                <w:b/>
              </w:rPr>
            </w:pPr>
            <w:r>
              <w:t>В инфраструктуре банка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/>
              <w:jc w:val="center"/>
              <w:rPr>
                <w:i/>
                <w:spacing w:val="-6"/>
              </w:rPr>
            </w:pPr>
            <w:r>
              <w:rPr>
                <w:i/>
              </w:rPr>
              <w:t>Без комиссии</w:t>
            </w:r>
          </w:p>
        </w:tc>
        <w:tc>
          <w:tcPr>
            <w:tcW w:w="2971" w:type="dxa"/>
          </w:tcPr>
          <w:p>
            <w:pPr>
              <w:pStyle w:val="ConsPlusNormal"/>
              <w:spacing w:before="80" w:after="80"/>
              <w:jc w:val="center"/>
              <w:rPr>
                <w:i/>
              </w:rPr>
            </w:pPr>
            <w:r>
              <w:rPr>
                <w:i/>
              </w:rPr>
              <w:t>Без комиссии</w:t>
            </w:r>
          </w:p>
        </w:tc>
      </w:tr>
      <w:tr>
        <w:tc>
          <w:tcPr>
            <w:tcW w:w="836" w:type="dxa"/>
            <w:vAlign w:val="center"/>
          </w:tcPr>
          <w:p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61" w:type="dxa"/>
            <w:vAlign w:val="center"/>
          </w:tcPr>
          <w:p>
            <w:pPr>
              <w:pStyle w:val="ConsPlusNormal"/>
              <w:jc w:val="both"/>
              <w:rPr>
                <w:i/>
              </w:rPr>
            </w:pPr>
            <w:r>
              <w:t>В инфраструктуре других банков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/>
              <w:jc w:val="center"/>
              <w:rPr>
                <w:i/>
                <w:spacing w:val="-6"/>
              </w:rPr>
            </w:pPr>
            <w:r>
              <w:rPr>
                <w:i/>
              </w:rPr>
              <w:t>Без комиссии</w:t>
            </w:r>
          </w:p>
        </w:tc>
        <w:tc>
          <w:tcPr>
            <w:tcW w:w="2971" w:type="dxa"/>
          </w:tcPr>
          <w:p>
            <w:pPr>
              <w:pStyle w:val="ConsPlusNormal"/>
              <w:spacing w:before="80" w:after="80"/>
              <w:jc w:val="center"/>
              <w:rPr>
                <w:i/>
              </w:rPr>
            </w:pPr>
            <w:r>
              <w:rPr>
                <w:i/>
              </w:rPr>
              <w:t>Без комиссии</w:t>
            </w:r>
          </w:p>
        </w:tc>
      </w:tr>
      <w:tr>
        <w:tc>
          <w:tcPr>
            <w:tcW w:w="9345" w:type="dxa"/>
            <w:gridSpan w:val="4"/>
          </w:tcPr>
          <w:p>
            <w:pPr>
              <w:spacing w:before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Перевод денежных средств с использованием реквизитов карты </w:t>
            </w:r>
          </w:p>
          <w:p>
            <w:pPr>
              <w:spacing w:before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(перевод с карты на карту)</w:t>
            </w:r>
          </w:p>
        </w:tc>
      </w:tr>
      <w:tr>
        <w:tc>
          <w:tcPr>
            <w:tcW w:w="836" w:type="dxa"/>
            <w:vAlign w:val="center"/>
          </w:tcPr>
          <w:p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561" w:type="dxa"/>
            <w:vAlign w:val="center"/>
          </w:tcPr>
          <w:p>
            <w:pPr>
              <w:pStyle w:val="ConsPlusNormal"/>
              <w:jc w:val="both"/>
            </w:pPr>
            <w:r>
              <w:t>Внутрибанковский перевод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60" w:after="60"/>
              <w:rPr>
                <w:i/>
              </w:rPr>
            </w:pPr>
            <w:r>
              <w:rPr>
                <w:i/>
              </w:rPr>
              <w:t>Без комиссии.</w:t>
            </w:r>
          </w:p>
          <w:p>
            <w:pPr>
              <w:pStyle w:val="ConsPlusNormal"/>
              <w:spacing w:before="60" w:after="60"/>
              <w:rPr>
                <w:i/>
              </w:rPr>
            </w:pPr>
            <w:r>
              <w:rPr>
                <w:i/>
              </w:rPr>
              <w:t>Перевод осуществляется посредством сервисов: интернет-банк и мобильный банк.</w:t>
            </w:r>
          </w:p>
        </w:tc>
        <w:tc>
          <w:tcPr>
            <w:tcW w:w="2971" w:type="dxa"/>
          </w:tcPr>
          <w:p>
            <w:pPr>
              <w:pStyle w:val="ConsPlusNormal"/>
              <w:rPr>
                <w:i/>
              </w:rPr>
            </w:pPr>
            <w:r>
              <w:rPr>
                <w:i/>
              </w:rPr>
              <w:t>Без комиссии.</w:t>
            </w:r>
          </w:p>
          <w:p>
            <w:pPr>
              <w:pStyle w:val="ConsPlusNormal"/>
              <w:spacing w:before="60" w:after="60"/>
              <w:rPr>
                <w:i/>
              </w:rPr>
            </w:pPr>
            <w:r>
              <w:rPr>
                <w:i/>
              </w:rPr>
              <w:t>Перевод осуществляется посредством сервисов: интернет-банк и мобильный банк</w:t>
            </w:r>
          </w:p>
        </w:tc>
      </w:tr>
      <w:tr>
        <w:trPr>
          <w:trHeight w:val="2443"/>
        </w:trPr>
        <w:tc>
          <w:tcPr>
            <w:tcW w:w="836" w:type="dxa"/>
            <w:vMerge w:val="restart"/>
            <w:vAlign w:val="center"/>
          </w:tcPr>
          <w:p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561" w:type="dxa"/>
            <w:vAlign w:val="center"/>
          </w:tcPr>
          <w:p>
            <w:pPr>
              <w:pStyle w:val="ConsPlusNormal"/>
              <w:jc w:val="both"/>
            </w:pPr>
            <w:r>
              <w:t xml:space="preserve">Перевод в другой банк на счет стороннего </w:t>
            </w:r>
            <w:proofErr w:type="gramStart"/>
            <w:r>
              <w:t>клиента  (</w:t>
            </w:r>
            <w:proofErr w:type="gramEnd"/>
            <w:r>
              <w:t>в месяц)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Перевод осуществляется через СБП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до 100 000руб.- бесплатно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от 100 000руб. – 0,5%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proofErr w:type="gramStart"/>
            <w:r>
              <w:rPr>
                <w:i/>
                <w:lang w:val="en-US"/>
              </w:rPr>
              <w:t>max</w:t>
            </w:r>
            <w:proofErr w:type="gramEnd"/>
            <w:r>
              <w:rPr>
                <w:i/>
              </w:rPr>
              <w:t xml:space="preserve"> 1500 руб.</w:t>
            </w:r>
          </w:p>
        </w:tc>
        <w:tc>
          <w:tcPr>
            <w:tcW w:w="2971" w:type="dxa"/>
          </w:tcPr>
          <w:p>
            <w:pPr>
              <w:pStyle w:val="ConsPlusNormal"/>
              <w:spacing w:before="60" w:after="60"/>
              <w:jc w:val="both"/>
              <w:rPr>
                <w:i/>
              </w:rPr>
            </w:pP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Перевод осуществляется через СБП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до 100 000руб.- бесплатно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от 100 000руб. – 0,5%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1500 руб.</w:t>
            </w:r>
          </w:p>
        </w:tc>
      </w:tr>
      <w:tr>
        <w:trPr>
          <w:trHeight w:val="1819"/>
        </w:trPr>
        <w:tc>
          <w:tcPr>
            <w:tcW w:w="836" w:type="dxa"/>
            <w:vMerge/>
            <w:vAlign w:val="center"/>
          </w:tcPr>
          <w:p>
            <w:pPr>
              <w:pStyle w:val="ConsPlusNormal"/>
              <w:jc w:val="center"/>
            </w:pPr>
          </w:p>
        </w:tc>
        <w:tc>
          <w:tcPr>
            <w:tcW w:w="2561" w:type="dxa"/>
            <w:vAlign w:val="center"/>
          </w:tcPr>
          <w:p>
            <w:pPr>
              <w:pStyle w:val="ConsPlusNormal"/>
              <w:jc w:val="both"/>
            </w:pPr>
            <w:r>
              <w:t>Перевод в другой банк на свой счет</w:t>
            </w:r>
          </w:p>
          <w:p>
            <w:pPr>
              <w:pStyle w:val="ConsPlusNormal"/>
              <w:jc w:val="both"/>
            </w:pPr>
            <w:r>
              <w:t>(в месяц)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Перевод осуществляется через СБП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до 30 млн. руб.- бесплатно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от 30 млн. руб. – 0,5%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1500 руб.</w:t>
            </w:r>
          </w:p>
        </w:tc>
        <w:tc>
          <w:tcPr>
            <w:tcW w:w="2971" w:type="dxa"/>
          </w:tcPr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Перевод осуществляется через СБП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до 30 млн. руб.- бесплатно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от 30 млн. руб. – 0,5%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1500 руб.</w:t>
            </w:r>
          </w:p>
        </w:tc>
      </w:tr>
      <w:tr>
        <w:tc>
          <w:tcPr>
            <w:tcW w:w="836" w:type="dxa"/>
            <w:vAlign w:val="center"/>
          </w:tcPr>
          <w:p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561" w:type="dxa"/>
            <w:vAlign w:val="center"/>
          </w:tcPr>
          <w:p>
            <w:pPr>
              <w:pStyle w:val="ConsPlusNormal"/>
              <w:jc w:val="both"/>
            </w:pPr>
            <w:r>
              <w:t>Перевод с карты другого банка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Перевод осуществляется через СБП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По тарифам другой КО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</w:p>
        </w:tc>
        <w:tc>
          <w:tcPr>
            <w:tcW w:w="2971" w:type="dxa"/>
          </w:tcPr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Перевод осуществляется через СБП</w:t>
            </w:r>
          </w:p>
          <w:p>
            <w:pPr>
              <w:pStyle w:val="ConsPlusNormal"/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По тарифам другой КО</w:t>
            </w:r>
          </w:p>
        </w:tc>
      </w:tr>
      <w:tr>
        <w:tc>
          <w:tcPr>
            <w:tcW w:w="9345" w:type="dxa"/>
            <w:gridSpan w:val="4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  <w:t>5. Комиссии и платежи за прочие услуги</w:t>
            </w:r>
          </w:p>
        </w:tc>
      </w:tr>
      <w:tr>
        <w:tc>
          <w:tcPr>
            <w:tcW w:w="836" w:type="dxa"/>
            <w:vAlign w:val="center"/>
          </w:tcPr>
          <w:p>
            <w:pPr>
              <w:pStyle w:val="ConsPlusNormal"/>
              <w:spacing w:after="120"/>
              <w:jc w:val="center"/>
            </w:pPr>
            <w:r>
              <w:t>5.1</w:t>
            </w:r>
          </w:p>
        </w:tc>
        <w:tc>
          <w:tcPr>
            <w:tcW w:w="2561" w:type="dxa"/>
            <w:vAlign w:val="center"/>
          </w:tcPr>
          <w:p>
            <w:pPr>
              <w:pStyle w:val="ConsPlusNormal"/>
              <w:rPr>
                <w:spacing w:val="-6"/>
              </w:rPr>
            </w:pPr>
            <w:r>
              <w:rPr>
                <w:spacing w:val="-10"/>
              </w:rPr>
              <w:t>Оплата</w:t>
            </w:r>
            <w:r>
              <w:rPr>
                <w:spacing w:val="-6"/>
              </w:rPr>
              <w:t xml:space="preserve"> товаров (работ, услуг) </w:t>
            </w:r>
            <w:r>
              <w:rPr>
                <w:spacing w:val="-10"/>
              </w:rPr>
              <w:t>с использованием карты банка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/>
              <w:jc w:val="center"/>
              <w:rPr>
                <w:i/>
              </w:rPr>
            </w:pPr>
            <w:r>
              <w:rPr>
                <w:i/>
              </w:rPr>
              <w:t>Без комиссии</w:t>
            </w:r>
          </w:p>
        </w:tc>
        <w:tc>
          <w:tcPr>
            <w:tcW w:w="2971" w:type="dxa"/>
          </w:tcPr>
          <w:p>
            <w:pPr>
              <w:pStyle w:val="ConsPlusNormal"/>
              <w:spacing w:before="80" w:after="80"/>
              <w:jc w:val="both"/>
              <w:rPr>
                <w:i/>
              </w:rPr>
            </w:pPr>
          </w:p>
          <w:p>
            <w:pPr>
              <w:pStyle w:val="ConsPlusNormal"/>
              <w:spacing w:before="80" w:after="80"/>
              <w:jc w:val="center"/>
              <w:rPr>
                <w:i/>
              </w:rPr>
            </w:pPr>
            <w:r>
              <w:rPr>
                <w:i/>
              </w:rPr>
              <w:t>Без комиссии</w:t>
            </w:r>
          </w:p>
          <w:p>
            <w:pPr>
              <w:pStyle w:val="ConsPlusNormal"/>
              <w:spacing w:before="80" w:after="80"/>
              <w:jc w:val="both"/>
              <w:rPr>
                <w:i/>
              </w:rPr>
            </w:pPr>
          </w:p>
        </w:tc>
      </w:tr>
      <w:tr>
        <w:tc>
          <w:tcPr>
            <w:tcW w:w="836" w:type="dxa"/>
            <w:vAlign w:val="center"/>
          </w:tcPr>
          <w:p>
            <w:pPr>
              <w:pStyle w:val="ConsPlusNormal"/>
              <w:spacing w:after="120"/>
              <w:jc w:val="center"/>
            </w:pPr>
            <w:r>
              <w:t>5.2</w:t>
            </w:r>
          </w:p>
        </w:tc>
        <w:tc>
          <w:tcPr>
            <w:tcW w:w="2561" w:type="dxa"/>
            <w:vAlign w:val="center"/>
          </w:tcPr>
          <w:p>
            <w:pPr>
              <w:pStyle w:val="ConsPlusNormal"/>
              <w:jc w:val="both"/>
              <w:rPr>
                <w:spacing w:val="-6"/>
              </w:rPr>
            </w:pPr>
            <w:r>
              <w:rPr>
                <w:spacing w:val="-10"/>
              </w:rPr>
              <w:t>Конвертация, в случае если валюта операции отличается от валюты счета</w:t>
            </w:r>
          </w:p>
        </w:tc>
        <w:tc>
          <w:tcPr>
            <w:tcW w:w="2977" w:type="dxa"/>
            <w:vAlign w:val="center"/>
          </w:tcPr>
          <w:p>
            <w:pPr>
              <w:pStyle w:val="ConsPlusNormal"/>
              <w:spacing w:before="80" w:after="80"/>
              <w:jc w:val="center"/>
              <w:rPr>
                <w:i/>
              </w:rPr>
            </w:pPr>
            <w:r>
              <w:rPr>
                <w:i/>
              </w:rPr>
              <w:t>Без комиссии</w:t>
            </w:r>
          </w:p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>По курсу ЦБ РФ на день расчета операции в процессинговом центре ПАО Банк «</w:t>
            </w:r>
            <w:proofErr w:type="spellStart"/>
            <w:r>
              <w:rPr>
                <w:i/>
              </w:rPr>
              <w:t>Уралсиб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2971" w:type="dxa"/>
          </w:tcPr>
          <w:p>
            <w:pPr>
              <w:pStyle w:val="ConsPlusNormal"/>
              <w:spacing w:before="80" w:after="80"/>
              <w:jc w:val="center"/>
              <w:rPr>
                <w:i/>
              </w:rPr>
            </w:pPr>
            <w:r>
              <w:rPr>
                <w:i/>
              </w:rPr>
              <w:t>Без комиссии</w:t>
            </w:r>
          </w:p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>По курсу ЦБ РФ на день расчета операции в процессинговом центре ПАО Банк «</w:t>
            </w:r>
            <w:proofErr w:type="spellStart"/>
            <w:r>
              <w:rPr>
                <w:i/>
              </w:rPr>
              <w:t>Уралсиб</w:t>
            </w:r>
            <w:proofErr w:type="spellEnd"/>
            <w:r>
              <w:rPr>
                <w:i/>
              </w:rPr>
              <w:t>»</w:t>
            </w:r>
          </w:p>
        </w:tc>
      </w:tr>
      <w:tr>
        <w:tc>
          <w:tcPr>
            <w:tcW w:w="6374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/>
        <w:ind w:left="7791" w:firstLine="437"/>
        <w:rPr>
          <w:rFonts w:ascii="Times New Roman" w:hAnsi="Times New Roman"/>
          <w:i/>
          <w:sz w:val="24"/>
          <w:szCs w:val="24"/>
        </w:rPr>
      </w:pPr>
    </w:p>
    <w:p>
      <w:pPr>
        <w:spacing w:after="0"/>
        <w:ind w:left="7791" w:firstLine="43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3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условия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36"/>
        <w:gridCol w:w="434"/>
        <w:gridCol w:w="3011"/>
        <w:gridCol w:w="2835"/>
        <w:gridCol w:w="2835"/>
      </w:tblGrid>
      <w:tr>
        <w:tc>
          <w:tcPr>
            <w:tcW w:w="670" w:type="dxa"/>
            <w:gridSpan w:val="2"/>
          </w:tcPr>
          <w:p>
            <w:pPr>
              <w:pStyle w:val="ConsPlusNormal"/>
              <w:spacing w:before="60" w:after="60"/>
              <w:jc w:val="center"/>
            </w:pPr>
            <w:r>
              <w:t>№ п/п</w:t>
            </w:r>
          </w:p>
        </w:tc>
        <w:tc>
          <w:tcPr>
            <w:tcW w:w="3011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условия</w:t>
            </w:r>
          </w:p>
        </w:tc>
        <w:tc>
          <w:tcPr>
            <w:tcW w:w="5670" w:type="dxa"/>
            <w:gridSpan w:val="2"/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условия</w:t>
            </w:r>
          </w:p>
        </w:tc>
      </w:tr>
      <w:t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jc w:val="center"/>
            </w:pPr>
            <w:r>
              <w:rPr>
                <w:spacing w:val="-6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spacing w:line="216" w:lineRule="auto"/>
              <w:jc w:val="both"/>
              <w:rPr>
                <w:spacing w:val="-6"/>
              </w:rPr>
            </w:pPr>
            <w:r>
              <w:t>Возможность установления расходных лимитов потребителем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spacing w:before="80" w:after="80"/>
              <w:jc w:val="both"/>
              <w:rPr>
                <w:i/>
                <w:highlight w:val="yellow"/>
              </w:rPr>
            </w:pPr>
          </w:p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 xml:space="preserve">                   Нет</w:t>
            </w:r>
          </w:p>
          <w:p>
            <w:pPr>
              <w:pStyle w:val="ConsPlusNormal"/>
              <w:spacing w:before="80" w:after="80"/>
              <w:jc w:val="both"/>
              <w:rPr>
                <w:i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spacing w:before="80" w:after="80"/>
              <w:jc w:val="both"/>
              <w:rPr>
                <w:i/>
                <w:highlight w:val="yellow"/>
              </w:rPr>
            </w:pPr>
            <w:r>
              <w:rPr>
                <w:i/>
              </w:rPr>
              <w:t xml:space="preserve">                  Нет</w:t>
            </w:r>
          </w:p>
        </w:tc>
      </w:tr>
      <w:tr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spacing w:after="120" w:line="600" w:lineRule="auto"/>
              <w:jc w:val="center"/>
            </w:pPr>
            <w: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spacing w:line="216" w:lineRule="auto"/>
              <w:jc w:val="both"/>
              <w:rPr>
                <w:spacing w:val="-6"/>
              </w:rPr>
            </w:pPr>
            <w:r>
              <w:rPr>
                <w:spacing w:val="-6"/>
              </w:rPr>
              <w:t>Возможность овердрафта</w:t>
            </w:r>
          </w:p>
          <w:p>
            <w:pPr>
              <w:pStyle w:val="ConsPlusNormal"/>
              <w:rPr>
                <w:spacing w:val="-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spacing w:before="80" w:after="80"/>
              <w:rPr>
                <w:i/>
              </w:rPr>
            </w:pPr>
            <w:r>
              <w:rPr>
                <w:i/>
              </w:rPr>
              <w:t xml:space="preserve">Овердрафт предоставляется по заявлению держателя карты после подписания кредитного договора, </w:t>
            </w:r>
          </w:p>
          <w:p>
            <w:pPr>
              <w:pStyle w:val="ConsPlusNormal"/>
              <w:rPr>
                <w:i/>
                <w:u w:val="single"/>
              </w:rPr>
            </w:pPr>
            <w:hyperlink r:id="rId11" w:history="1">
              <w:r>
                <w:rPr>
                  <w:rStyle w:val="af2"/>
                  <w:i/>
                  <w:color w:val="auto"/>
                </w:rPr>
                <w:t>http://bankelita.ru/</w:t>
              </w:r>
            </w:hyperlink>
          </w:p>
          <w:p>
            <w:pPr>
              <w:pStyle w:val="ConsPlusNormal"/>
              <w:rPr>
                <w:i/>
              </w:rPr>
            </w:pPr>
            <w:proofErr w:type="spellStart"/>
            <w:r>
              <w:rPr>
                <w:i/>
                <w:u w:val="single"/>
              </w:rPr>
              <w:t>personal</w:t>
            </w:r>
            <w:proofErr w:type="spellEnd"/>
            <w:r>
              <w:rPr>
                <w:i/>
                <w:u w:val="single"/>
              </w:rPr>
              <w:t>/</w:t>
            </w:r>
            <w:proofErr w:type="spellStart"/>
            <w:r>
              <w:rPr>
                <w:i/>
                <w:u w:val="single"/>
              </w:rPr>
              <w:t>credits</w:t>
            </w:r>
            <w:proofErr w:type="spellEnd"/>
            <w:r>
              <w:rPr>
                <w:i/>
                <w:u w:val="single"/>
              </w:rPr>
              <w:t>/</w:t>
            </w:r>
            <w:proofErr w:type="spellStart"/>
            <w:r>
              <w:rPr>
                <w:i/>
                <w:u w:val="single"/>
              </w:rPr>
              <w:t>overdraft-yubileyny</w:t>
            </w:r>
            <w:proofErr w:type="spellEnd"/>
            <w:r>
              <w:rPr>
                <w:i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before="80" w:after="80"/>
              <w:rPr>
                <w:i/>
              </w:rPr>
            </w:pPr>
            <w:r>
              <w:rPr>
                <w:i/>
              </w:rPr>
              <w:t xml:space="preserve">Овердрафт предоставляется по заявлению держателя карты после подписания кредитного договора, </w:t>
            </w:r>
          </w:p>
          <w:p>
            <w:pPr>
              <w:pStyle w:val="ConsPlusNormal"/>
              <w:rPr>
                <w:i/>
                <w:u w:val="single"/>
              </w:rPr>
            </w:pPr>
            <w:hyperlink r:id="rId12" w:history="1">
              <w:r>
                <w:rPr>
                  <w:rStyle w:val="af2"/>
                  <w:i/>
                  <w:color w:val="auto"/>
                </w:rPr>
                <w:t>http://bankelita.ru/</w:t>
              </w:r>
            </w:hyperlink>
          </w:p>
          <w:p>
            <w:pPr>
              <w:pStyle w:val="ConsPlusNormal"/>
              <w:rPr>
                <w:i/>
              </w:rPr>
            </w:pPr>
            <w:proofErr w:type="spellStart"/>
            <w:r>
              <w:rPr>
                <w:i/>
                <w:u w:val="single"/>
              </w:rPr>
              <w:t>personal</w:t>
            </w:r>
            <w:proofErr w:type="spellEnd"/>
            <w:r>
              <w:rPr>
                <w:i/>
                <w:u w:val="single"/>
              </w:rPr>
              <w:t>/</w:t>
            </w:r>
            <w:proofErr w:type="spellStart"/>
            <w:r>
              <w:rPr>
                <w:i/>
                <w:u w:val="single"/>
              </w:rPr>
              <w:t>credits</w:t>
            </w:r>
            <w:proofErr w:type="spellEnd"/>
            <w:r>
              <w:rPr>
                <w:i/>
                <w:u w:val="single"/>
              </w:rPr>
              <w:t>/</w:t>
            </w:r>
            <w:proofErr w:type="spellStart"/>
            <w:r>
              <w:rPr>
                <w:i/>
                <w:u w:val="single"/>
              </w:rPr>
              <w:t>overdraft-yubileyny</w:t>
            </w:r>
            <w:proofErr w:type="spellEnd"/>
            <w:r>
              <w:rPr>
                <w:i/>
              </w:rPr>
              <w:t>/</w:t>
            </w:r>
          </w:p>
        </w:tc>
      </w:tr>
      <w:tr>
        <w:tc>
          <w:tcPr>
            <w:tcW w:w="670" w:type="dxa"/>
            <w:gridSpan w:val="2"/>
            <w:vAlign w:val="center"/>
          </w:tcPr>
          <w:p>
            <w:pPr>
              <w:pStyle w:val="ConsPlusNormal"/>
              <w:spacing w:after="120"/>
              <w:jc w:val="center"/>
            </w:pPr>
            <w:r>
              <w:t>3</w:t>
            </w:r>
          </w:p>
        </w:tc>
        <w:tc>
          <w:tcPr>
            <w:tcW w:w="3011" w:type="dxa"/>
            <w:vAlign w:val="center"/>
          </w:tcPr>
          <w:p>
            <w:pPr>
              <w:pStyle w:val="ConsPlusNormal"/>
              <w:jc w:val="both"/>
              <w:rPr>
                <w:spacing w:val="-6"/>
              </w:rPr>
            </w:pPr>
            <w:r>
              <w:rPr>
                <w:spacing w:val="-6"/>
              </w:rPr>
              <w:t>Страхование денежных средств, размещенных на банковском счете, к которому выпущена карта</w:t>
            </w:r>
          </w:p>
        </w:tc>
        <w:tc>
          <w:tcPr>
            <w:tcW w:w="2835" w:type="dxa"/>
            <w:vAlign w:val="center"/>
          </w:tcPr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>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  <w:tc>
          <w:tcPr>
            <w:tcW w:w="2835" w:type="dxa"/>
          </w:tcPr>
          <w:p>
            <w:pPr>
              <w:pStyle w:val="ConsPlusNormal"/>
              <w:spacing w:before="80" w:after="80"/>
              <w:jc w:val="both"/>
              <w:rPr>
                <w:i/>
              </w:rPr>
            </w:pPr>
            <w:r>
              <w:rPr>
                <w:i/>
              </w:rPr>
              <w:t>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>
        <w:tc>
          <w:tcPr>
            <w:tcW w:w="6516" w:type="dxa"/>
            <w:gridSpan w:val="4"/>
            <w:vAlign w:val="center"/>
          </w:tcPr>
          <w:p>
            <w:pPr>
              <w:pStyle w:val="ConsPlusNormal"/>
              <w:spacing w:before="80" w:after="80"/>
              <w:jc w:val="center"/>
            </w:pPr>
          </w:p>
          <w:p>
            <w:pPr>
              <w:pStyle w:val="ConsPlusNormal"/>
              <w:spacing w:before="80" w:after="80"/>
              <w:jc w:val="center"/>
            </w:pPr>
            <w:r>
              <w:lastRenderedPageBreak/>
              <w:t>Памятка по безопасности</w:t>
            </w:r>
          </w:p>
        </w:tc>
        <w:tc>
          <w:tcPr>
            <w:tcW w:w="2835" w:type="dxa"/>
          </w:tcPr>
          <w:p>
            <w:pPr>
              <w:pStyle w:val="ConsPlusNormal"/>
              <w:spacing w:before="80" w:after="80"/>
              <w:jc w:val="center"/>
            </w:pPr>
          </w:p>
        </w:tc>
      </w:tr>
      <w:tr>
        <w:tc>
          <w:tcPr>
            <w:tcW w:w="9351" w:type="dxa"/>
            <w:gridSpan w:val="5"/>
            <w:vAlign w:val="center"/>
          </w:tcPr>
          <w:p>
            <w:pPr>
              <w:pStyle w:val="ConsPlusNormal"/>
              <w:spacing w:before="80" w:after="80"/>
              <w:jc w:val="both"/>
            </w:pPr>
            <w:r>
              <w:t xml:space="preserve">Никому (в том числе сотруднику КО) не сообщайте PIN-код, CVC/CVV (код на обороте карты), одноразовые коды (пароли) из СМС-сообщений. </w:t>
            </w:r>
          </w:p>
          <w:p>
            <w:pPr>
              <w:pStyle w:val="ConsPlusNormal"/>
              <w:spacing w:before="80" w:after="80"/>
              <w:jc w:val="both"/>
            </w:pPr>
            <w:r>
              <w:t xml:space="preserve">Не оставляйте карту без присмотра, не передавайте ее третьим лицам. </w:t>
            </w:r>
          </w:p>
          <w:p>
            <w:pPr>
              <w:pStyle w:val="ConsPlusNormal"/>
              <w:spacing w:before="80" w:after="80"/>
              <w:jc w:val="both"/>
            </w:pPr>
            <w:r>
              <w:t xml:space="preserve">При утрате или похищении карты немедленно сообщите в банк по тел. +7(495) 723-77-21 (могут быть указаны иные каналы связи и (или) способы подачи заявления на блокировку карты). </w:t>
            </w:r>
          </w:p>
          <w:p>
            <w:pPr>
              <w:pStyle w:val="ConsPlusNormal"/>
              <w:spacing w:before="80" w:after="80"/>
              <w:jc w:val="both"/>
            </w:pPr>
            <w:r>
              <w:t xml:space="preserve"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</w:t>
            </w:r>
            <w:proofErr w:type="gramStart"/>
            <w:r>
              <w:t>в КО</w:t>
            </w:r>
            <w:proofErr w:type="gramEnd"/>
            <w:r>
              <w:t xml:space="preserve"> по тел. +7(4842)72-14-65.</w:t>
            </w:r>
          </w:p>
          <w:p>
            <w:pPr>
              <w:pStyle w:val="ConsPlusNormal"/>
              <w:spacing w:before="80" w:after="80"/>
              <w:jc w:val="both"/>
            </w:pPr>
            <w:r>
              <w:t xml:space="preserve">За подробной памяткой о безопасности и правилах использования карты обращайтесь в банк </w:t>
            </w:r>
          </w:p>
        </w:tc>
      </w:tr>
      <w:tr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 банка: г. Калуга, ул. Московская, 6</w:t>
            </w:r>
          </w:p>
        </w:tc>
      </w:tr>
      <w:tr>
        <w:tc>
          <w:tcPr>
            <w:tcW w:w="236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 для общих вопросов по карте (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+7(4842)72-14-65, info@bankelita.ru)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headerReference w:type="default" r:id="rId13"/>
      <w:headerReference w:type="first" r:id="rId14"/>
      <w:pgSz w:w="11906" w:h="16838"/>
      <w:pgMar w:top="1134" w:right="850" w:bottom="568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381752"/>
      <w:docPartObj>
        <w:docPartGallery w:val="Page Numbers (Top of Page)"/>
        <w:docPartUnique/>
      </w:docPartObj>
    </w:sdtPr>
    <w:sdtContent>
      <w:p>
        <w:pPr>
          <w:pStyle w:val="a7"/>
          <w:jc w:val="center"/>
        </w:pPr>
      </w:p>
    </w:sdtContent>
  </w:sdt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</w:pPr>
  </w:p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E1569"/>
    <w:multiLevelType w:val="hybridMultilevel"/>
    <w:tmpl w:val="F0904E6C"/>
    <w:lvl w:ilvl="0" w:tplc="14EAC25E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2F14A2D4" w:tentative="1">
      <w:start w:val="1"/>
      <w:numFmt w:val="lowerLetter"/>
      <w:lvlText w:val="%2."/>
      <w:lvlJc w:val="left"/>
      <w:pPr>
        <w:ind w:left="2160" w:hanging="360"/>
      </w:pPr>
    </w:lvl>
    <w:lvl w:ilvl="2" w:tplc="4B72A94A" w:tentative="1">
      <w:start w:val="1"/>
      <w:numFmt w:val="lowerRoman"/>
      <w:lvlText w:val="%3."/>
      <w:lvlJc w:val="right"/>
      <w:pPr>
        <w:ind w:left="2880" w:hanging="180"/>
      </w:pPr>
    </w:lvl>
    <w:lvl w:ilvl="3" w:tplc="1B1ED4B8" w:tentative="1">
      <w:start w:val="1"/>
      <w:numFmt w:val="decimal"/>
      <w:lvlText w:val="%4."/>
      <w:lvlJc w:val="left"/>
      <w:pPr>
        <w:ind w:left="3600" w:hanging="360"/>
      </w:pPr>
    </w:lvl>
    <w:lvl w:ilvl="4" w:tplc="293C5682" w:tentative="1">
      <w:start w:val="1"/>
      <w:numFmt w:val="lowerLetter"/>
      <w:lvlText w:val="%5."/>
      <w:lvlJc w:val="left"/>
      <w:pPr>
        <w:ind w:left="4320" w:hanging="360"/>
      </w:pPr>
    </w:lvl>
    <w:lvl w:ilvl="5" w:tplc="35D8150C" w:tentative="1">
      <w:start w:val="1"/>
      <w:numFmt w:val="lowerRoman"/>
      <w:lvlText w:val="%6."/>
      <w:lvlJc w:val="right"/>
      <w:pPr>
        <w:ind w:left="5040" w:hanging="180"/>
      </w:pPr>
    </w:lvl>
    <w:lvl w:ilvl="6" w:tplc="EE582634" w:tentative="1">
      <w:start w:val="1"/>
      <w:numFmt w:val="decimal"/>
      <w:lvlText w:val="%7."/>
      <w:lvlJc w:val="left"/>
      <w:pPr>
        <w:ind w:left="5760" w:hanging="360"/>
      </w:pPr>
    </w:lvl>
    <w:lvl w:ilvl="7" w:tplc="01402B5A" w:tentative="1">
      <w:start w:val="1"/>
      <w:numFmt w:val="lowerLetter"/>
      <w:lvlText w:val="%8."/>
      <w:lvlJc w:val="left"/>
      <w:pPr>
        <w:ind w:left="6480" w:hanging="360"/>
      </w:pPr>
    </w:lvl>
    <w:lvl w:ilvl="8" w:tplc="65EED3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A71A75"/>
    <w:multiLevelType w:val="hybridMultilevel"/>
    <w:tmpl w:val="BD8E6E86"/>
    <w:lvl w:ilvl="0" w:tplc="31004732">
      <w:start w:val="7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9665C1"/>
    <w:multiLevelType w:val="hybridMultilevel"/>
    <w:tmpl w:val="85E4228C"/>
    <w:lvl w:ilvl="0" w:tplc="6982243C">
      <w:start w:val="7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46621-318C-4D97-B555-53B48D45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eastAsiaTheme="minorEastAsi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eastAsiaTheme="minorEastAsia" w:cs="Times New Roman"/>
      <w:lang w:eastAsia="ru-RU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Pr>
      <w:rFonts w:eastAsiaTheme="minorEastAsia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Pr>
      <w:rFonts w:eastAsiaTheme="minorEastAsia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nkelit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nkelit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nkelita.ru/perso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elita.ru/person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FFB9-BC7B-4F52-AEA0-125D88A7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Кокоев Эдуард Юрьевич</dc:creator>
  <cp:keywords/>
  <dc:description/>
  <cp:lastModifiedBy>Харицкий Глеб Владимирович</cp:lastModifiedBy>
  <cp:revision>2</cp:revision>
  <cp:lastPrinted>2024-05-08T12:42:00Z</cp:lastPrinted>
  <dcterms:created xsi:type="dcterms:W3CDTF">2024-05-13T10:13:00Z</dcterms:created>
  <dcterms:modified xsi:type="dcterms:W3CDTF">2024-05-13T10:13:00Z</dcterms:modified>
</cp:coreProperties>
</file>